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2"/>
      </w:tblGrid>
      <w:tr w:rsidR="002758F7" w:rsidRPr="002758F7" w:rsidTr="002758F7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64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2758F7" w:rsidRPr="002758F7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2758F7" w:rsidRPr="002758F7">
                    <w:tc>
                      <w:tcPr>
                        <w:tcW w:w="0" w:type="auto"/>
                        <w:tcMar>
                          <w:top w:w="64" w:type="dxa"/>
                          <w:left w:w="128" w:type="dxa"/>
                          <w:bottom w:w="64" w:type="dxa"/>
                          <w:right w:w="128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16"/>
                        </w:tblGrid>
                        <w:tr w:rsidR="002758F7" w:rsidRPr="002758F7">
                          <w:tc>
                            <w:tcPr>
                              <w:tcW w:w="0" w:type="auto"/>
                              <w:tcMar>
                                <w:top w:w="128" w:type="dxa"/>
                                <w:left w:w="128" w:type="dxa"/>
                                <w:bottom w:w="128" w:type="dxa"/>
                                <w:right w:w="128" w:type="dxa"/>
                              </w:tcMar>
                              <w:hideMark/>
                            </w:tcPr>
                            <w:p w:rsidR="002758F7" w:rsidRPr="002758F7" w:rsidRDefault="002758F7" w:rsidP="002758F7">
                              <w:pPr>
                                <w:spacing w:after="0" w:line="360" w:lineRule="auto"/>
                                <w:jc w:val="center"/>
                                <w:outlineLvl w:val="5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F2F2F2"/>
                                  <w:sz w:val="15"/>
                                  <w:szCs w:val="15"/>
                                  <w:lang w:val="sk-SK" w:eastAsia="sk-SK"/>
                                </w:rPr>
                              </w:pPr>
                              <w:proofErr w:type="spellStart"/>
                              <w:r w:rsidRPr="002758F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>newsletter</w:t>
                              </w:r>
                              <w:proofErr w:type="spellEnd"/>
                              <w:r w:rsidRPr="002758F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>offered</w:t>
                              </w:r>
                              <w:proofErr w:type="spellEnd"/>
                              <w:r w:rsidRPr="002758F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 xml:space="preserve"> by</w:t>
                              </w:r>
                              <w:r w:rsidRPr="002758F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5"/>
                                  <w:szCs w:val="15"/>
                                  <w:lang w:val="sk-SK" w:eastAsia="sk-SK"/>
                                </w:rPr>
                                <w:br/>
                              </w:r>
                              <w:r w:rsidRPr="002758F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7"/>
                                  <w:lang w:val="sk-SK" w:eastAsia="sk-SK"/>
                                </w:rPr>
                                <w:t>WIM DEKEYSER B.V.</w:t>
                              </w:r>
                              <w:r w:rsidRPr="002758F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5"/>
                                  <w:szCs w:val="15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2758F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3"/>
                                  <w:lang w:val="sk-SK" w:eastAsia="sk-SK"/>
                                </w:rPr>
                                <w:t>International</w:t>
                              </w:r>
                              <w:proofErr w:type="spellEnd"/>
                              <w:r w:rsidRPr="002758F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3"/>
                                  <w:lang w:val="sk-SK" w:eastAsia="sk-SK"/>
                                </w:rPr>
                                <w:t>Loss</w:t>
                              </w:r>
                              <w:proofErr w:type="spellEnd"/>
                              <w:r w:rsidRPr="002758F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3"/>
                                  <w:lang w:val="sk-SK" w:eastAsia="sk-SK"/>
                                </w:rPr>
                                <w:t>Adjusters</w:t>
                              </w:r>
                              <w:proofErr w:type="spellEnd"/>
                            </w:p>
                          </w:tc>
                        </w:tr>
                      </w:tbl>
                      <w:p w:rsidR="002758F7" w:rsidRPr="002758F7" w:rsidRDefault="002758F7" w:rsidP="002758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2758F7" w:rsidRPr="002758F7" w:rsidRDefault="002758F7" w:rsidP="00275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2758F7" w:rsidRPr="002758F7" w:rsidRDefault="002758F7" w:rsidP="002758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2758F7" w:rsidRPr="002758F7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2758F7" w:rsidRPr="002758F7">
                    <w:tc>
                      <w:tcPr>
                        <w:tcW w:w="0" w:type="auto"/>
                        <w:tcMar>
                          <w:top w:w="64" w:type="dxa"/>
                          <w:left w:w="128" w:type="dxa"/>
                          <w:bottom w:w="64" w:type="dxa"/>
                          <w:right w:w="128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00"/>
                        </w:tblGrid>
                        <w:tr w:rsidR="002758F7" w:rsidRPr="002758F7">
                          <w:tc>
                            <w:tcPr>
                              <w:tcW w:w="0" w:type="auto"/>
                              <w:tcMar>
                                <w:top w:w="128" w:type="dxa"/>
                                <w:left w:w="128" w:type="dxa"/>
                                <w:bottom w:w="128" w:type="dxa"/>
                                <w:right w:w="128" w:type="dxa"/>
                              </w:tcMar>
                              <w:hideMark/>
                            </w:tcPr>
                            <w:p w:rsidR="002758F7" w:rsidRPr="002758F7" w:rsidRDefault="002758F7" w:rsidP="002758F7">
                              <w:pPr>
                                <w:spacing w:after="0" w:line="300" w:lineRule="auto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9"/>
                                  <w:szCs w:val="19"/>
                                  <w:lang w:val="sk-SK" w:eastAsia="sk-SK"/>
                                </w:rPr>
                              </w:pP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Frauds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with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Fake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Carriers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 xml:space="preserve"> /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Electronic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Freight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Sites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9"/>
                                  <w:szCs w:val="19"/>
                                  <w:lang w:val="sk-SK" w:eastAsia="sk-SK"/>
                                </w:rPr>
                                <w:br/>
                              </w:r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B22222"/>
                                  <w:kern w:val="36"/>
                                  <w:sz w:val="14"/>
                                  <w:lang w:val="sk-SK" w:eastAsia="sk-SK"/>
                                </w:rPr>
                                <w:t>** UPDATE WARNING 30.10.21 **</w:t>
                              </w:r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9"/>
                                  <w:szCs w:val="19"/>
                                  <w:lang w:val="sk-SK" w:eastAsia="sk-SK"/>
                                </w:rPr>
                                <w:br/>
                              </w:r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202020"/>
                                  <w:kern w:val="36"/>
                                  <w:sz w:val="14"/>
                                  <w:lang w:val="sk-SK" w:eastAsia="sk-SK"/>
                                </w:rPr>
                                <w:t xml:space="preserve">28-02-2022 </w:t>
                              </w:r>
                            </w:p>
                          </w:tc>
                        </w:tr>
                      </w:tbl>
                      <w:p w:rsidR="002758F7" w:rsidRPr="002758F7" w:rsidRDefault="002758F7" w:rsidP="002758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2758F7" w:rsidRPr="002758F7" w:rsidRDefault="002758F7" w:rsidP="00275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2758F7" w:rsidRPr="002758F7" w:rsidRDefault="002758F7" w:rsidP="002758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k-SK" w:eastAsia="sk-SK"/>
              </w:rPr>
            </w:pPr>
          </w:p>
        </w:tc>
      </w:tr>
      <w:tr w:rsidR="002758F7" w:rsidRPr="002758F7" w:rsidTr="002758F7">
        <w:tc>
          <w:tcPr>
            <w:tcW w:w="0" w:type="auto"/>
            <w:tcBorders>
              <w:top w:val="nil"/>
              <w:bottom w:val="single" w:sz="6" w:space="0" w:color="EAEAEA"/>
            </w:tcBorders>
            <w:shd w:val="clear" w:color="auto" w:fill="FFFFFF"/>
            <w:tcMar>
              <w:top w:w="0" w:type="dxa"/>
              <w:left w:w="0" w:type="dxa"/>
              <w:bottom w:w="64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2758F7" w:rsidRPr="002758F7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30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0"/>
                  </w:tblGrid>
                  <w:tr w:rsidR="002758F7" w:rsidRPr="002758F7">
                    <w:tc>
                      <w:tcPr>
                        <w:tcW w:w="0" w:type="auto"/>
                        <w:tcMar>
                          <w:top w:w="64" w:type="dxa"/>
                          <w:left w:w="128" w:type="dxa"/>
                          <w:bottom w:w="64" w:type="dxa"/>
                          <w:right w:w="128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DDBD55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744"/>
                        </w:tblGrid>
                        <w:tr w:rsidR="002758F7" w:rsidRPr="002758F7">
                          <w:tc>
                            <w:tcPr>
                              <w:tcW w:w="0" w:type="auto"/>
                              <w:shd w:val="clear" w:color="auto" w:fill="DDBD55"/>
                              <w:tcMar>
                                <w:top w:w="128" w:type="dxa"/>
                                <w:left w:w="128" w:type="dxa"/>
                                <w:bottom w:w="128" w:type="dxa"/>
                                <w:right w:w="128" w:type="dxa"/>
                              </w:tcMar>
                              <w:hideMark/>
                            </w:tcPr>
                            <w:p w:rsidR="002758F7" w:rsidRPr="002758F7" w:rsidRDefault="002758F7" w:rsidP="002758F7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</w:pPr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In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Autumn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of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2021 –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the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UK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National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Vehicle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Crime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Intelligence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Service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(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NaVCIS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)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were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made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aware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of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a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series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of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European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Distribution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Frauds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involving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bogus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individuals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completing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European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Deliveries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for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European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Businesses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purporting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to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be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from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TOP EXPRESS GROUP LTD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who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are part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of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the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Bronel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Group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in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the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United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Kingdom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r w:rsidRPr="002758F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> </w:t>
                              </w:r>
                              <w:r w:rsidRPr="002758F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Upon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making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enquiries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with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Bronel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Group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they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informed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Police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that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they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were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aware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of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several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businesses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across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Europe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becoming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victims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of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the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Fraud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  </w:t>
                              </w:r>
                              <w:r w:rsidRPr="002758F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> </w:t>
                              </w:r>
                              <w:r w:rsidRPr="002758F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It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was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said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to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involve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persons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purporting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to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be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from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TOP EXPRESS GROUP LTD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offering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to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deliver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transport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services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using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a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fake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/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bogus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website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that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 Bronel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said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was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nothing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to do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with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them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and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they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were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not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responsible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r w:rsidRPr="002758F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> </w:t>
                              </w:r>
                              <w:r w:rsidRPr="002758F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NaVCIS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made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the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UK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National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Fraud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Intelligence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Bureau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(NFIB)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aware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of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the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Fraudulent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activity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which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had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links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to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Turkey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and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Russia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and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requested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that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the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bogus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website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be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taken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down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from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the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internet </w:t>
                              </w:r>
                              <w:r w:rsidRPr="002758F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> </w:t>
                              </w:r>
                              <w:r w:rsidRPr="002758F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The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latest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incident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occurred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in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early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December 2021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involving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a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consignment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of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Cargo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being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delivered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between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Italy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and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Lithuania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r w:rsidRPr="002758F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> </w:t>
                              </w:r>
                              <w:r w:rsidRPr="002758F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SO</w:t>
                              </w:r>
                              <w:r w:rsidRPr="002758F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 Report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such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incidents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always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 to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the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relevant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Police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Force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in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the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Country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where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the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delivery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was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collected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for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local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Police to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investigate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further</w:t>
                              </w:r>
                              <w:proofErr w:type="spellEnd"/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2758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! WARNINGS LIKE THESE WORK !</w:t>
                              </w:r>
                              <w:r w:rsidRPr="002758F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:rsidR="002758F7" w:rsidRPr="002758F7" w:rsidRDefault="002758F7" w:rsidP="002758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2758F7" w:rsidRPr="002758F7" w:rsidRDefault="002758F7" w:rsidP="00275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vanish/>
                      <w:sz w:val="24"/>
                      <w:szCs w:val="24"/>
                      <w:lang w:val="sk-SK" w:eastAsia="sk-SK"/>
                    </w:rPr>
                  </w:pPr>
                </w:p>
                <w:tbl>
                  <w:tblPr>
                    <w:tblpPr w:vertAnchor="text"/>
                    <w:tblW w:w="30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0"/>
                  </w:tblGrid>
                  <w:tr w:rsidR="002758F7" w:rsidRPr="002758F7">
                    <w:tc>
                      <w:tcPr>
                        <w:tcW w:w="0" w:type="auto"/>
                        <w:tcMar>
                          <w:top w:w="64" w:type="dxa"/>
                          <w:left w:w="128" w:type="dxa"/>
                          <w:bottom w:w="64" w:type="dxa"/>
                          <w:right w:w="128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DDBD55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744"/>
                        </w:tblGrid>
                        <w:tr w:rsidR="002758F7" w:rsidRPr="002758F7">
                          <w:tc>
                            <w:tcPr>
                              <w:tcW w:w="0" w:type="auto"/>
                              <w:shd w:val="clear" w:color="auto" w:fill="DDBD55"/>
                              <w:tcMar>
                                <w:top w:w="128" w:type="dxa"/>
                                <w:left w:w="128" w:type="dxa"/>
                                <w:bottom w:w="128" w:type="dxa"/>
                                <w:right w:w="128" w:type="dxa"/>
                              </w:tcMar>
                              <w:hideMark/>
                            </w:tcPr>
                            <w:p w:rsidR="002758F7" w:rsidRPr="002758F7" w:rsidRDefault="002758F7" w:rsidP="002758F7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</w:pPr>
                              <w:r w:rsidRPr="002758F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2758F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2758F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2758F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:rsidR="002758F7" w:rsidRPr="002758F7" w:rsidRDefault="002758F7" w:rsidP="002758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2758F7" w:rsidRPr="002758F7" w:rsidRDefault="002758F7" w:rsidP="00275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2758F7" w:rsidRPr="002758F7" w:rsidRDefault="002758F7" w:rsidP="002758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2758F7" w:rsidRPr="002758F7">
              <w:tc>
                <w:tcPr>
                  <w:tcW w:w="0" w:type="auto"/>
                  <w:tcMar>
                    <w:top w:w="6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2758F7" w:rsidRPr="002758F7">
                    <w:tc>
                      <w:tcPr>
                        <w:tcW w:w="0" w:type="auto"/>
                        <w:tcMar>
                          <w:top w:w="0" w:type="dxa"/>
                          <w:left w:w="128" w:type="dxa"/>
                          <w:bottom w:w="64" w:type="dxa"/>
                          <w:right w:w="128" w:type="dxa"/>
                        </w:tcMar>
                        <w:hideMark/>
                      </w:tcPr>
                      <w:p w:rsidR="002758F7" w:rsidRPr="002758F7" w:rsidRDefault="002758F7" w:rsidP="002758F7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</w:pPr>
                        <w:r w:rsidRPr="002758F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So </w:t>
                        </w:r>
                        <w:proofErr w:type="spellStart"/>
                        <w:r w:rsidRPr="002758F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please</w:t>
                        </w:r>
                        <w:proofErr w:type="spellEnd"/>
                        <w:r w:rsidRPr="002758F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58F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remain</w:t>
                        </w:r>
                        <w:proofErr w:type="spellEnd"/>
                        <w:r w:rsidRPr="002758F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58F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extremely</w:t>
                        </w:r>
                        <w:proofErr w:type="spellEnd"/>
                        <w:r w:rsidRPr="002758F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58F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prudent</w:t>
                        </w:r>
                        <w:proofErr w:type="spellEnd"/>
                        <w:r w:rsidRPr="002758F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and </w:t>
                        </w:r>
                        <w:proofErr w:type="spellStart"/>
                        <w:r w:rsidRPr="002758F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contract</w:t>
                        </w:r>
                        <w:proofErr w:type="spellEnd"/>
                        <w:r w:rsidRPr="002758F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58F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only</w:t>
                        </w:r>
                        <w:proofErr w:type="spellEnd"/>
                        <w:r w:rsidRPr="002758F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58F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with</w:t>
                        </w:r>
                        <w:proofErr w:type="spellEnd"/>
                        <w:r w:rsidRPr="002758F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58F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reliable</w:t>
                        </w:r>
                        <w:proofErr w:type="spellEnd"/>
                        <w:r w:rsidRPr="002758F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and </w:t>
                        </w:r>
                        <w:proofErr w:type="spellStart"/>
                        <w:r w:rsidRPr="002758F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known</w:t>
                        </w:r>
                        <w:proofErr w:type="spellEnd"/>
                        <w:r w:rsidRPr="002758F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transport </w:t>
                        </w:r>
                        <w:proofErr w:type="spellStart"/>
                        <w:r w:rsidRPr="002758F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partners</w:t>
                        </w:r>
                        <w:proofErr w:type="spellEnd"/>
                        <w:r w:rsidRPr="002758F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and </w:t>
                        </w:r>
                        <w:proofErr w:type="spellStart"/>
                        <w:r w:rsidRPr="002758F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always</w:t>
                        </w:r>
                        <w:proofErr w:type="spellEnd"/>
                        <w:r w:rsidRPr="002758F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58F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contact</w:t>
                        </w:r>
                        <w:proofErr w:type="spellEnd"/>
                        <w:r w:rsidRPr="002758F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58F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the</w:t>
                        </w:r>
                        <w:proofErr w:type="spellEnd"/>
                        <w:r w:rsidRPr="002758F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58F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real</w:t>
                        </w:r>
                        <w:proofErr w:type="spellEnd"/>
                        <w:r w:rsidRPr="002758F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58F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coordinates</w:t>
                        </w:r>
                        <w:proofErr w:type="spellEnd"/>
                        <w:r w:rsidRPr="002758F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58F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of</w:t>
                        </w:r>
                        <w:proofErr w:type="spellEnd"/>
                        <w:r w:rsidRPr="002758F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58F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these</w:t>
                        </w:r>
                        <w:proofErr w:type="spellEnd"/>
                        <w:r w:rsidRPr="002758F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58F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companies</w:t>
                        </w:r>
                        <w:proofErr w:type="spellEnd"/>
                        <w:r w:rsidRPr="002758F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.</w:t>
                        </w:r>
                        <w:r w:rsidRPr="002758F7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br/>
                        </w:r>
                        <w:r w:rsidRPr="002758F7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2"/>
                            <w:szCs w:val="12"/>
                            <w:lang w:val="sk-SK" w:eastAsia="sk-SK"/>
                          </w:rPr>
                          <w:t> </w:t>
                        </w:r>
                      </w:p>
                      <w:p w:rsidR="002758F7" w:rsidRPr="002758F7" w:rsidRDefault="002758F7" w:rsidP="002758F7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</w:pPr>
                        <w:proofErr w:type="spellStart"/>
                        <w:r w:rsidRPr="002758F7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If</w:t>
                        </w:r>
                        <w:proofErr w:type="spellEnd"/>
                        <w:r w:rsidRPr="002758F7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58F7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you</w:t>
                        </w:r>
                        <w:proofErr w:type="spellEnd"/>
                        <w:r w:rsidRPr="002758F7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58F7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have</w:t>
                        </w:r>
                        <w:proofErr w:type="spellEnd"/>
                        <w:r w:rsidRPr="002758F7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58F7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any</w:t>
                        </w:r>
                        <w:proofErr w:type="spellEnd"/>
                        <w:r w:rsidRPr="002758F7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58F7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information</w:t>
                        </w:r>
                        <w:proofErr w:type="spellEnd"/>
                        <w:r w:rsidRPr="002758F7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in </w:t>
                        </w:r>
                        <w:proofErr w:type="spellStart"/>
                        <w:r w:rsidRPr="002758F7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this</w:t>
                        </w:r>
                        <w:proofErr w:type="spellEnd"/>
                        <w:r w:rsidRPr="002758F7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58F7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respect</w:t>
                        </w:r>
                        <w:proofErr w:type="spellEnd"/>
                        <w:r w:rsidRPr="002758F7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58F7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please</w:t>
                        </w:r>
                        <w:proofErr w:type="spellEnd"/>
                        <w:r w:rsidRPr="002758F7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58F7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contact</w:t>
                        </w:r>
                        <w:proofErr w:type="spellEnd"/>
                        <w:r w:rsidRPr="002758F7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2758F7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us</w:t>
                        </w:r>
                        <w:proofErr w:type="spellEnd"/>
                        <w:r w:rsidRPr="002758F7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.</w:t>
                        </w:r>
                      </w:p>
                    </w:tc>
                  </w:tr>
                </w:tbl>
                <w:p w:rsidR="002758F7" w:rsidRPr="002758F7" w:rsidRDefault="002758F7" w:rsidP="00275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2758F7" w:rsidRPr="002758F7" w:rsidRDefault="002758F7" w:rsidP="002758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k-SK" w:eastAsia="sk-SK"/>
              </w:rPr>
            </w:pPr>
          </w:p>
        </w:tc>
      </w:tr>
    </w:tbl>
    <w:p w:rsidR="007074DD" w:rsidRPr="002758F7" w:rsidRDefault="007074DD" w:rsidP="002758F7"/>
    <w:sectPr w:rsidR="007074DD" w:rsidRPr="002758F7" w:rsidSect="0070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12EA9"/>
    <w:rsid w:val="002758F7"/>
    <w:rsid w:val="002A3A56"/>
    <w:rsid w:val="0042135D"/>
    <w:rsid w:val="007074DD"/>
    <w:rsid w:val="00830627"/>
    <w:rsid w:val="00A41361"/>
    <w:rsid w:val="00D93AF5"/>
    <w:rsid w:val="00DE5DCE"/>
    <w:rsid w:val="00F1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74DD"/>
    <w:rPr>
      <w:noProof/>
      <w:lang w:val="en-GB"/>
    </w:rPr>
  </w:style>
  <w:style w:type="paragraph" w:styleId="Nadpis1">
    <w:name w:val="heading 1"/>
    <w:basedOn w:val="Normlny"/>
    <w:link w:val="Nadpis1Char"/>
    <w:uiPriority w:val="9"/>
    <w:qFormat/>
    <w:rsid w:val="00F12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sk-SK" w:eastAsia="sk-SK"/>
    </w:rPr>
  </w:style>
  <w:style w:type="paragraph" w:styleId="Nadpis6">
    <w:name w:val="heading 6"/>
    <w:basedOn w:val="Normlny"/>
    <w:link w:val="Nadpis6Char"/>
    <w:uiPriority w:val="9"/>
    <w:qFormat/>
    <w:rsid w:val="00F12EA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noProof w:val="0"/>
      <w:sz w:val="15"/>
      <w:szCs w:val="15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12EA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F12EA9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styleId="Siln">
    <w:name w:val="Strong"/>
    <w:basedOn w:val="Predvolenpsmoodseku"/>
    <w:uiPriority w:val="22"/>
    <w:qFormat/>
    <w:rsid w:val="00F12EA9"/>
    <w:rPr>
      <w:b/>
      <w:bCs/>
    </w:rPr>
  </w:style>
  <w:style w:type="character" w:styleId="Zvraznenie">
    <w:name w:val="Emphasis"/>
    <w:basedOn w:val="Predvolenpsmoodseku"/>
    <w:uiPriority w:val="20"/>
    <w:qFormat/>
    <w:rsid w:val="00F12EA9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F12EA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2EA9"/>
    <w:rPr>
      <w:rFonts w:ascii="Tahoma" w:hAnsi="Tahoma" w:cs="Tahoma"/>
      <w:noProof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zlz@zlz.sk</dc:creator>
  <cp:lastModifiedBy>zlz@zlz.sk</cp:lastModifiedBy>
  <cp:revision>2</cp:revision>
  <dcterms:created xsi:type="dcterms:W3CDTF">2022-03-01T07:06:00Z</dcterms:created>
  <dcterms:modified xsi:type="dcterms:W3CDTF">2022-03-01T07:06:00Z</dcterms:modified>
</cp:coreProperties>
</file>