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A5" w:rsidRPr="005F0FD5" w:rsidRDefault="00065CA5" w:rsidP="002428F9">
      <w:pPr>
        <w:jc w:val="both"/>
      </w:pPr>
      <w:r w:rsidRPr="003D15B0">
        <w:rPr>
          <w:b/>
        </w:rPr>
        <w:t>Mezinárodní železniční fórum a konference 2017 po dvou letech opět v Praze</w:t>
      </w:r>
    </w:p>
    <w:p w:rsidR="00065CA5" w:rsidRPr="003D15B0" w:rsidRDefault="00065CA5" w:rsidP="003B7A2B">
      <w:pPr>
        <w:jc w:val="both"/>
      </w:pPr>
      <w:r w:rsidRPr="003D15B0">
        <w:t xml:space="preserve">Ve dnech 22. – 24. března 2017 proběhl v </w:t>
      </w:r>
      <w:proofErr w:type="spellStart"/>
      <w:r w:rsidRPr="003D15B0">
        <w:t>Clarion</w:t>
      </w:r>
      <w:proofErr w:type="spellEnd"/>
      <w:r w:rsidRPr="003D15B0">
        <w:t xml:space="preserve"> </w:t>
      </w:r>
      <w:proofErr w:type="spellStart"/>
      <w:r w:rsidRPr="003D15B0">
        <w:t>Congress</w:t>
      </w:r>
      <w:proofErr w:type="spellEnd"/>
      <w:r w:rsidRPr="003D15B0">
        <w:t xml:space="preserve"> Hotel </w:t>
      </w:r>
      <w:proofErr w:type="spellStart"/>
      <w:r w:rsidRPr="003D15B0">
        <w:t>Prague</w:t>
      </w:r>
      <w:proofErr w:type="spellEnd"/>
      <w:r>
        <w:t xml:space="preserve"> již 6. ročník </w:t>
      </w:r>
      <w:r w:rsidRPr="005F0FD5">
        <w:t>m</w:t>
      </w:r>
      <w:r w:rsidRPr="003D15B0">
        <w:t xml:space="preserve">ezinárodní železniční konference tentokrát pod sloganem „Udělejme Evropskou železnici snadnější“, pod záštitou ERA (Agentury EU pro železnice), </w:t>
      </w:r>
      <w:r w:rsidRPr="005F0FD5">
        <w:t>Poslanecké sněmovny Parlamentu České republiky,</w:t>
      </w:r>
      <w:r>
        <w:t xml:space="preserve"> </w:t>
      </w:r>
      <w:r w:rsidRPr="003D15B0">
        <w:t>Ministerstva dopravy České republiky, UIC (Mezinárodní železniční unie), UNIFE (Asociace evropského železničního průmyslu), společného podniku Shift2Rail, OSŽD (Organizace spolupráce železnic) a CER (Společenství evropských železnic a provozovatelů infrastruktury). Konferenci také podpořilo 12 partnerů zejména z řad mezinárodních organizací.</w:t>
      </w:r>
      <w:r>
        <w:t xml:space="preserve"> </w:t>
      </w:r>
      <w:r w:rsidRPr="005F0FD5">
        <w:t>Konferenci již tradičně uspořádal OLTIS Group, který je jedinou a uznávanou společností s úspěšnými akcemi podobného typu a s celoevropským dosahem.</w:t>
      </w:r>
    </w:p>
    <w:p w:rsidR="00065CA5" w:rsidRPr="005F0FD5" w:rsidRDefault="00065CA5" w:rsidP="00163902">
      <w:pPr>
        <w:pStyle w:val="Nadpis4"/>
        <w:shd w:val="clear" w:color="auto" w:fill="FFFFFF"/>
        <w:jc w:val="both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5F0FD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Letošního ročníku konference se zúčastnilo 240 účastníků z 27 zemí, včetně 46 vysoce postavených představitelů z předních železničních společností a organizací. Na seznamu řečníků bylo 45 osob, včetně zástupců Evropské komise, ministerstev dopravy, UIC, OSŽD, ERA, UNIFE, CER, IBS, UIRR a dalších významných evropských organizací a institucí.</w:t>
      </w:r>
    </w:p>
    <w:p w:rsidR="00065CA5" w:rsidRPr="003D15B0" w:rsidRDefault="00065CA5" w:rsidP="00163902">
      <w:pPr>
        <w:pStyle w:val="Bezriadkovania"/>
        <w:spacing w:after="160" w:line="259" w:lineRule="auto"/>
      </w:pPr>
      <w:r w:rsidRPr="005F0FD5">
        <w:t xml:space="preserve">V rámci konference proběhlo podepsání Memoranda o spolupráci na inovačních programech Shift2Rail mezi </w:t>
      </w:r>
      <w:proofErr w:type="spellStart"/>
      <w:r w:rsidRPr="005F0FD5">
        <w:t>Ferrovie</w:t>
      </w:r>
      <w:proofErr w:type="spellEnd"/>
      <w:r w:rsidRPr="005F0FD5">
        <w:t xml:space="preserve"> </w:t>
      </w:r>
      <w:proofErr w:type="spellStart"/>
      <w:r w:rsidRPr="005F0FD5">
        <w:t>dello</w:t>
      </w:r>
      <w:proofErr w:type="spellEnd"/>
      <w:r w:rsidRPr="005F0FD5">
        <w:t xml:space="preserve"> </w:t>
      </w:r>
      <w:proofErr w:type="spellStart"/>
      <w:r w:rsidRPr="005F0FD5">
        <w:t>Stato</w:t>
      </w:r>
      <w:proofErr w:type="spellEnd"/>
      <w:r w:rsidRPr="005F0FD5">
        <w:t xml:space="preserve"> </w:t>
      </w:r>
      <w:proofErr w:type="spellStart"/>
      <w:r w:rsidRPr="005F0FD5">
        <w:t>Italiane</w:t>
      </w:r>
      <w:proofErr w:type="spellEnd"/>
      <w:r w:rsidRPr="005F0FD5">
        <w:t xml:space="preserve"> a OLTIS Group, ve kterém obě společnosti položily základ pro společný výzkum a inovační aktivity, vytvořily vzájemnou spolupráci v Shift2Rail, resp. ve společném podávání nabídek ve výzvách v rámci výzkumných a inovačních programů a vyjádřily zájem pracovat společně také na dalších aktivitách společného zájmu jako např. TSI TAF/TAP.</w:t>
      </w:r>
    </w:p>
    <w:p w:rsidR="00065CA5" w:rsidRPr="005F0FD5" w:rsidRDefault="00065CA5" w:rsidP="003D15B0">
      <w:pPr>
        <w:pStyle w:val="Nadpis4"/>
        <w:shd w:val="clear" w:color="auto" w:fill="FFFFFF"/>
        <w:jc w:val="both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5F0FD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Mezinárodní železniční fórum, které bylo důležitou částí konference IRFC 2017, se konalo dne 21. března 2017 pod heslem „ŽELEZNICE NA KŘIŽOVATCE ČASU – VIZE A VÝZVY“. Fórum bylo velmi přínosné setkání, na kterém představitelé železničního průmyslu měli příležitost diskutovat o problémech a najít jejich řešení. Na tomto fóru moderovaném Pavlínou Kvapilovou vystoupili zástupci Evropského parlamentu (Martina Werner) a vedoucí představitelé Evropské komise (</w:t>
      </w:r>
      <w:proofErr w:type="spellStart"/>
      <w:r w:rsidRPr="005F0FD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Maroš</w:t>
      </w:r>
      <w:proofErr w:type="spellEnd"/>
      <w:r w:rsidRPr="005F0FD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proofErr w:type="spellStart"/>
      <w:r w:rsidRPr="005F0FD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Šefčovič</w:t>
      </w:r>
      <w:proofErr w:type="spellEnd"/>
      <w:r w:rsidRPr="005F0FD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a </w:t>
      </w:r>
      <w:proofErr w:type="spellStart"/>
      <w:r w:rsidRPr="005F0FD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Matthew</w:t>
      </w:r>
      <w:proofErr w:type="spellEnd"/>
      <w:r w:rsidRPr="005F0FD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proofErr w:type="spellStart"/>
      <w:r w:rsidRPr="005F0FD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Baldwin</w:t>
      </w:r>
      <w:proofErr w:type="spellEnd"/>
      <w:r w:rsidRPr="005F0FD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), mezinárodních organizací UIC a CER (</w:t>
      </w:r>
      <w:proofErr w:type="spellStart"/>
      <w:r w:rsidRPr="005F0FD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Jean</w:t>
      </w:r>
      <w:proofErr w:type="spellEnd"/>
      <w:r w:rsidRPr="005F0FD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-</w:t>
      </w:r>
      <w:proofErr w:type="spellStart"/>
      <w:r w:rsidRPr="005F0FD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Pierre</w:t>
      </w:r>
      <w:proofErr w:type="spellEnd"/>
      <w:r w:rsidRPr="005F0FD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proofErr w:type="spellStart"/>
      <w:r w:rsidRPr="005F0FD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Loubinoux</w:t>
      </w:r>
      <w:proofErr w:type="spellEnd"/>
      <w:r w:rsidRPr="005F0FD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a Libor Lochman), ERA (Josef </w:t>
      </w:r>
      <w:proofErr w:type="spellStart"/>
      <w:r w:rsidRPr="005F0FD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Doppelbauer</w:t>
      </w:r>
      <w:proofErr w:type="spellEnd"/>
      <w:r w:rsidRPr="005F0FD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), UNIFE (Miroslav </w:t>
      </w:r>
      <w:proofErr w:type="spellStart"/>
      <w:r w:rsidRPr="005F0FD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Fukan</w:t>
      </w:r>
      <w:proofErr w:type="spellEnd"/>
      <w:r w:rsidRPr="005F0FD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), Shift2Rail (</w:t>
      </w:r>
      <w:proofErr w:type="spellStart"/>
      <w:r w:rsidRPr="005F0FD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Carlo</w:t>
      </w:r>
      <w:proofErr w:type="spellEnd"/>
      <w:r w:rsidRPr="005F0FD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proofErr w:type="spellStart"/>
      <w:r w:rsidRPr="005F0FD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Borghini</w:t>
      </w:r>
      <w:proofErr w:type="spellEnd"/>
      <w:r w:rsidRPr="005F0FD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) a ministerstev dopravy (</w:t>
      </w:r>
      <w:proofErr w:type="spellStart"/>
      <w:r w:rsidRPr="005F0FD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Joe</w:t>
      </w:r>
      <w:proofErr w:type="spellEnd"/>
      <w:r w:rsidRPr="005F0FD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proofErr w:type="spellStart"/>
      <w:r w:rsidRPr="005F0FD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Mizzi</w:t>
      </w:r>
      <w:proofErr w:type="spellEnd"/>
      <w:r w:rsidRPr="005F0FD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, ministr, Malta a Tomáš Čoček, náměstek ministra, ČR).</w:t>
      </w:r>
    </w:p>
    <w:p w:rsidR="00065CA5" w:rsidRDefault="00065CA5" w:rsidP="00561CC1">
      <w:pPr>
        <w:jc w:val="both"/>
      </w:pPr>
      <w:r w:rsidRPr="003D15B0">
        <w:t xml:space="preserve">První den </w:t>
      </w:r>
      <w:r w:rsidRPr="005F0FD5">
        <w:t>konference</w:t>
      </w:r>
      <w:r>
        <w:t xml:space="preserve"> </w:t>
      </w:r>
      <w:r w:rsidRPr="003D15B0">
        <w:t xml:space="preserve">IRFC 2017 moderovali </w:t>
      </w:r>
      <w:proofErr w:type="spellStart"/>
      <w:r w:rsidRPr="003D15B0">
        <w:t>Matthew</w:t>
      </w:r>
      <w:proofErr w:type="spellEnd"/>
      <w:r>
        <w:t xml:space="preserve"> </w:t>
      </w:r>
      <w:proofErr w:type="spellStart"/>
      <w:r>
        <w:t>Baldwin</w:t>
      </w:r>
      <w:proofErr w:type="spellEnd"/>
      <w:r>
        <w:t xml:space="preserve"> </w:t>
      </w:r>
      <w:r w:rsidRPr="005F0FD5">
        <w:t>(</w:t>
      </w:r>
      <w:r w:rsidRPr="003D15B0">
        <w:t>Evropské komise</w:t>
      </w:r>
      <w:r w:rsidRPr="005F0FD5">
        <w:t>)</w:t>
      </w:r>
      <w:r>
        <w:t xml:space="preserve"> </w:t>
      </w:r>
      <w:r w:rsidRPr="003D15B0">
        <w:t xml:space="preserve">a Simon </w:t>
      </w:r>
      <w:proofErr w:type="spellStart"/>
      <w:r w:rsidRPr="003D15B0">
        <w:t>Fletcher</w:t>
      </w:r>
      <w:proofErr w:type="spellEnd"/>
      <w:r w:rsidRPr="003D15B0">
        <w:t xml:space="preserve"> </w:t>
      </w:r>
      <w:r w:rsidRPr="005F0FD5">
        <w:t>(</w:t>
      </w:r>
      <w:r w:rsidRPr="003D15B0">
        <w:t>UIC</w:t>
      </w:r>
      <w:r w:rsidRPr="005F0FD5">
        <w:t>)</w:t>
      </w:r>
      <w:r w:rsidRPr="003D15B0">
        <w:t xml:space="preserve">. Účastníky konference přivítali svými projevy zástupci společnosti OLTIS Group, ministr dopravy a infrastruktury Maltské republiky (předsednické země EU) </w:t>
      </w:r>
      <w:proofErr w:type="spellStart"/>
      <w:r w:rsidRPr="005F0FD5">
        <w:t>Joe</w:t>
      </w:r>
      <w:proofErr w:type="spellEnd"/>
      <w:r w:rsidRPr="005F0FD5">
        <w:t xml:space="preserve"> </w:t>
      </w:r>
      <w:proofErr w:type="spellStart"/>
      <w:r w:rsidRPr="005F0FD5">
        <w:t>Mizzi</w:t>
      </w:r>
      <w:proofErr w:type="spellEnd"/>
      <w:r>
        <w:t xml:space="preserve"> </w:t>
      </w:r>
      <w:r w:rsidRPr="003D15B0">
        <w:t>a náměstek ministra dopravy České republiky</w:t>
      </w:r>
      <w:r>
        <w:t xml:space="preserve"> </w:t>
      </w:r>
      <w:r w:rsidRPr="005F0FD5">
        <w:t xml:space="preserve">Milan </w:t>
      </w:r>
      <w:proofErr w:type="spellStart"/>
      <w:r w:rsidRPr="005F0FD5">
        <w:t>Feranec</w:t>
      </w:r>
      <w:proofErr w:type="spellEnd"/>
      <w:r w:rsidRPr="003D15B0">
        <w:t>. Poté představitelé nejdůležitějších hráčů železničního průmyslu projednávali otázky na téma konkurenceschopnost v odvětví železniční dopravy.</w:t>
      </w:r>
    </w:p>
    <w:p w:rsidR="00065CA5" w:rsidRPr="003D15B0" w:rsidRDefault="00065CA5" w:rsidP="007C3B76">
      <w:pPr>
        <w:jc w:val="both"/>
      </w:pPr>
      <w:r w:rsidRPr="005F0FD5">
        <w:t xml:space="preserve">Sekce „Železniční inovace a výzkum – hnací síla budoucí interoperabilní železnice“, kterou moderoval </w:t>
      </w:r>
      <w:proofErr w:type="spellStart"/>
      <w:r w:rsidRPr="005F0FD5">
        <w:t>Riccardo</w:t>
      </w:r>
      <w:proofErr w:type="spellEnd"/>
      <w:r w:rsidRPr="005F0FD5">
        <w:t xml:space="preserve"> </w:t>
      </w:r>
      <w:proofErr w:type="spellStart"/>
      <w:proofErr w:type="gramStart"/>
      <w:r w:rsidRPr="005F0FD5">
        <w:t>Santoro</w:t>
      </w:r>
      <w:proofErr w:type="spellEnd"/>
      <w:r w:rsidRPr="005F0FD5">
        <w:t xml:space="preserve">  (</w:t>
      </w:r>
      <w:proofErr w:type="spellStart"/>
      <w:r w:rsidRPr="005F0FD5">
        <w:t>Ferrovie</w:t>
      </w:r>
      <w:proofErr w:type="spellEnd"/>
      <w:proofErr w:type="gramEnd"/>
      <w:r w:rsidRPr="005F0FD5">
        <w:t xml:space="preserve"> </w:t>
      </w:r>
      <w:proofErr w:type="spellStart"/>
      <w:r w:rsidRPr="005F0FD5">
        <w:t>dello</w:t>
      </w:r>
      <w:proofErr w:type="spellEnd"/>
      <w:r w:rsidRPr="005F0FD5">
        <w:t xml:space="preserve"> </w:t>
      </w:r>
      <w:proofErr w:type="spellStart"/>
      <w:r w:rsidRPr="005F0FD5">
        <w:t>Stato</w:t>
      </w:r>
      <w:proofErr w:type="spellEnd"/>
      <w:r w:rsidRPr="005F0FD5">
        <w:t xml:space="preserve"> </w:t>
      </w:r>
      <w:proofErr w:type="spellStart"/>
      <w:r w:rsidRPr="005F0FD5">
        <w:t>Italiane</w:t>
      </w:r>
      <w:proofErr w:type="spellEnd"/>
      <w:r w:rsidRPr="005F0FD5">
        <w:t>), byla velmi významná pro další směrování železnice k inovacím.</w:t>
      </w:r>
      <w:r w:rsidRPr="00D73120">
        <w:t xml:space="preserve"> </w:t>
      </w:r>
      <w:r w:rsidRPr="003D15B0">
        <w:t xml:space="preserve">Zástupci společného podniku SHIFT2RAIL </w:t>
      </w:r>
      <w:r w:rsidRPr="005F0FD5">
        <w:t>v ní mimo jiné</w:t>
      </w:r>
      <w:r>
        <w:t xml:space="preserve"> </w:t>
      </w:r>
      <w:r w:rsidRPr="003D15B0">
        <w:t>informovali o probíhajících a ukončených projektech, shrnuli výsledky dokončených projektů řešených v rámci výzkumných a inovačních programů a představili připravované projekty.</w:t>
      </w:r>
    </w:p>
    <w:p w:rsidR="00065CA5" w:rsidRPr="005F0FD5" w:rsidRDefault="00065CA5" w:rsidP="00E20C15">
      <w:pPr>
        <w:pStyle w:val="Nadpis4"/>
        <w:shd w:val="clear" w:color="auto" w:fill="FFFFFF"/>
        <w:jc w:val="both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5F0FD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Generální ředitel UIC </w:t>
      </w:r>
      <w:proofErr w:type="spellStart"/>
      <w:r w:rsidRPr="005F0FD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Jean</w:t>
      </w:r>
      <w:proofErr w:type="spellEnd"/>
      <w:r w:rsidRPr="005F0FD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-</w:t>
      </w:r>
      <w:proofErr w:type="spellStart"/>
      <w:r w:rsidRPr="005F0FD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Pierre</w:t>
      </w:r>
      <w:proofErr w:type="spellEnd"/>
      <w:r w:rsidRPr="005F0FD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proofErr w:type="spellStart"/>
      <w:r w:rsidRPr="005F0FD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Loubinoux</w:t>
      </w:r>
      <w:proofErr w:type="spellEnd"/>
      <w:r w:rsidRPr="005F0FD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ve své prezentaci popsal vyhlídky pro železnici stát se v tomto 21. století hlavním aktérem mobility. „Železnice usnadňující překračování hranic mezi národy významně přispívá k vytváření interoperability mezi jednotlivými zeměmi a jejich obyvateli, včetně dlouhých a velmi dlouhých vzdáleností.“ Dodal, že „v tomto století si zainteresované strany z celého světa uvědomují, že mobilita na železnici je ve skutečnosti páteří účinného, integrovaného </w:t>
      </w:r>
      <w:r w:rsidRPr="005F0FD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lastRenderedPageBreak/>
        <w:t xml:space="preserve">multimodálního dopravního systému, a to díky svým výhodám z hlediska výkonu, bezpečnosti, spolehlivosti a šetrnost k životnímu </w:t>
      </w:r>
      <w:proofErr w:type="gramStart"/>
      <w:r w:rsidRPr="005F0FD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prostředí .“</w:t>
      </w:r>
      <w:proofErr w:type="gramEnd"/>
    </w:p>
    <w:p w:rsidR="00065CA5" w:rsidRPr="005F0FD5" w:rsidRDefault="00065CA5" w:rsidP="00E70BB8">
      <w:pPr>
        <w:pStyle w:val="Nadpis4"/>
        <w:shd w:val="clear" w:color="auto" w:fill="FFFFFF"/>
        <w:jc w:val="both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5F0FD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V sekci “Rozvoj atraktivního a konkurenceschopného </w:t>
      </w:r>
      <w:proofErr w:type="gramStart"/>
      <w:r w:rsidRPr="005F0FD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železniční</w:t>
      </w:r>
      <w:proofErr w:type="gramEnd"/>
      <w:r w:rsidRPr="005F0FD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sektoru” Josef </w:t>
      </w:r>
      <w:proofErr w:type="spellStart"/>
      <w:r w:rsidRPr="005F0FD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Doppelbauer</w:t>
      </w:r>
      <w:proofErr w:type="spellEnd"/>
      <w:r w:rsidRPr="005F0FD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, výkonný ředitel ERA svou prezentaci zaměřil na to, co může Agentura EU pro železnice udělat pro to, aby železnice byla opět atraktivní a konkurenceschopná, a soustředil se na technickou integraci trhů s cílem dosáhnout lepších služeb železnice při nižších nákladech. „V bitvě jednotlivých druhů dopravy železnice trpí vysokými výrobními náklady, které jsou určeny jak vysokými náklady na vybavení, tak nízkým využitím aktiv, a také nízkou kvalitou, jakožto důsledkem defragmentace evropského trhu. Železnice má také strukturální inovační problémy a integruje se velmi špatně s ostatními druhy dopravy, zejména se silnicí.“</w:t>
      </w:r>
    </w:p>
    <w:p w:rsidR="00065CA5" w:rsidRPr="003D15B0" w:rsidRDefault="00065CA5" w:rsidP="00601168">
      <w:pPr>
        <w:jc w:val="both"/>
      </w:pPr>
      <w:r w:rsidRPr="003D15B0">
        <w:t xml:space="preserve">Samostatnou a velice významnou sekcí prvního dne konference pak byla Digitalizace v železniční dopravě. Zástupce generálního ředitele DG MOVE Evropské komise </w:t>
      </w:r>
      <w:proofErr w:type="spellStart"/>
      <w:r w:rsidRPr="003D15B0">
        <w:t>Matthew</w:t>
      </w:r>
      <w:proofErr w:type="spellEnd"/>
      <w:r w:rsidRPr="003D15B0">
        <w:t xml:space="preserve"> </w:t>
      </w:r>
      <w:proofErr w:type="spellStart"/>
      <w:r w:rsidRPr="003D15B0">
        <w:t>Baldwin</w:t>
      </w:r>
      <w:proofErr w:type="spellEnd"/>
      <w:r w:rsidRPr="003D15B0">
        <w:t xml:space="preserve"> řekl: „V tomto globalizovaném digitálním věku, ve kterém žijeme, cestující očekávají přístup k informacím výhodně a okamžitě. Tento snadný přístup k informacím a nutnost neustálého připojení již také započaly způsobovat revoluci v tom, jak jsme byli zvyklí cestovat.“</w:t>
      </w:r>
    </w:p>
    <w:p w:rsidR="00065CA5" w:rsidRPr="003D15B0" w:rsidRDefault="00065CA5" w:rsidP="00601168">
      <w:pPr>
        <w:pStyle w:val="Bezriadkovania"/>
      </w:pPr>
      <w:r w:rsidRPr="003D15B0">
        <w:t xml:space="preserve">Přednášky druhého dne konference byly rozděleny do čtyř sekcí, které moderovali Simon </w:t>
      </w:r>
      <w:proofErr w:type="spellStart"/>
      <w:r w:rsidRPr="003D15B0">
        <w:t>Fletcher</w:t>
      </w:r>
      <w:proofErr w:type="spellEnd"/>
      <w:r w:rsidRPr="003D15B0">
        <w:t xml:space="preserve"> a Michael </w:t>
      </w:r>
      <w:proofErr w:type="spellStart"/>
      <w:r w:rsidRPr="003D15B0">
        <w:t>Robson</w:t>
      </w:r>
      <w:proofErr w:type="spellEnd"/>
      <w:r w:rsidRPr="003D15B0">
        <w:t xml:space="preserve"> a které byly věnovány tématům jako Novinky v technologii nákladní dopravy a logistiky, Implementace železniční interoperability (TSI TAF/TAP) a Železniční inovace, projekty a informační systémy.</w:t>
      </w:r>
      <w:r w:rsidRPr="003D15B0">
        <w:br/>
      </w:r>
    </w:p>
    <w:p w:rsidR="00065CA5" w:rsidRPr="003D15B0" w:rsidRDefault="00065CA5" w:rsidP="007C3B76">
      <w:pPr>
        <w:jc w:val="both"/>
      </w:pPr>
      <w:r w:rsidRPr="003D15B0">
        <w:t xml:space="preserve">Konference byla doprovázena tradiční odbornou výstavou, na které se prezentovalo </w:t>
      </w:r>
      <w:r w:rsidRPr="005F0FD5">
        <w:t>18</w:t>
      </w:r>
      <w:r w:rsidRPr="003D15B0">
        <w:t xml:space="preserve"> vystavovatelů z řad železničních dopravců, železničního průmyslu, IT společností, mezinárodních organizací a médií. </w:t>
      </w:r>
    </w:p>
    <w:p w:rsidR="00065CA5" w:rsidRPr="003D15B0" w:rsidRDefault="00065CA5" w:rsidP="00CA483C">
      <w:pPr>
        <w:jc w:val="both"/>
      </w:pPr>
      <w:r w:rsidRPr="003D15B0">
        <w:t>Nedílnou součástí konference byly doprovodné akce jako Galavečer první den a „Český večer“ po skončení druhého jednacího dne.</w:t>
      </w:r>
    </w:p>
    <w:p w:rsidR="00065CA5" w:rsidRPr="003D15B0" w:rsidRDefault="00065CA5" w:rsidP="00515E63">
      <w:pPr>
        <w:pStyle w:val="Bezriadkovania"/>
        <w:spacing w:after="160" w:line="259" w:lineRule="auto"/>
      </w:pPr>
      <w:r w:rsidRPr="003D15B0">
        <w:t>Třetí den konference, 24. března, byl věnován návštěvě Národního technického muzea v Praze. Největší pozornost účastníků vzbudila expozice historie dopravy v tzv. „dopravní hale“.</w:t>
      </w:r>
    </w:p>
    <w:p w:rsidR="00065CA5" w:rsidRDefault="00065CA5" w:rsidP="00E20C15">
      <w:pPr>
        <w:pStyle w:val="Normlnywebov"/>
        <w:rPr>
          <w:rFonts w:ascii="Calibri" w:hAnsi="Calibri"/>
          <w:bCs/>
          <w:sz w:val="22"/>
          <w:szCs w:val="22"/>
          <w:lang w:eastAsia="en-US"/>
        </w:rPr>
      </w:pPr>
      <w:r w:rsidRPr="003D15B0">
        <w:rPr>
          <w:rFonts w:ascii="Calibri" w:hAnsi="Calibri"/>
          <w:bCs/>
          <w:sz w:val="22"/>
          <w:szCs w:val="22"/>
          <w:lang w:eastAsia="en-US"/>
        </w:rPr>
        <w:t xml:space="preserve">Pro více informací můžete navštívit webové stránky konference </w:t>
      </w:r>
      <w:hyperlink r:id="rId5" w:history="1">
        <w:r w:rsidRPr="003D15B0">
          <w:rPr>
            <w:rStyle w:val="Hypertextovprepojenie"/>
            <w:rFonts w:ascii="Calibri" w:hAnsi="Calibri"/>
            <w:bCs/>
            <w:sz w:val="22"/>
            <w:szCs w:val="22"/>
            <w:lang w:eastAsia="en-US"/>
          </w:rPr>
          <w:t>www.irfc.eu</w:t>
        </w:r>
      </w:hyperlink>
      <w:r w:rsidRPr="003D15B0">
        <w:t>.</w:t>
      </w:r>
      <w:bookmarkStart w:id="0" w:name="_GoBack"/>
      <w:bookmarkEnd w:id="0"/>
    </w:p>
    <w:p w:rsidR="00065CA5" w:rsidRPr="00D03C09" w:rsidRDefault="00065CA5"/>
    <w:sectPr w:rsidR="00065CA5" w:rsidRPr="00D03C09" w:rsidSect="00296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F332F"/>
    <w:multiLevelType w:val="hybridMultilevel"/>
    <w:tmpl w:val="BB5C69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7F18E6"/>
    <w:multiLevelType w:val="hybridMultilevel"/>
    <w:tmpl w:val="C7FCB8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4290"/>
    <w:rsid w:val="00063827"/>
    <w:rsid w:val="00065CA5"/>
    <w:rsid w:val="00066E36"/>
    <w:rsid w:val="000E746B"/>
    <w:rsid w:val="00156AFA"/>
    <w:rsid w:val="00163902"/>
    <w:rsid w:val="0018028F"/>
    <w:rsid w:val="001A1106"/>
    <w:rsid w:val="00201B98"/>
    <w:rsid w:val="00234290"/>
    <w:rsid w:val="002428F9"/>
    <w:rsid w:val="0029000E"/>
    <w:rsid w:val="002964D9"/>
    <w:rsid w:val="002B5E0C"/>
    <w:rsid w:val="002B6804"/>
    <w:rsid w:val="00381A54"/>
    <w:rsid w:val="003B7A2B"/>
    <w:rsid w:val="003D15B0"/>
    <w:rsid w:val="003E50D7"/>
    <w:rsid w:val="00486D71"/>
    <w:rsid w:val="004E7D42"/>
    <w:rsid w:val="00515E63"/>
    <w:rsid w:val="00561CC1"/>
    <w:rsid w:val="005671FD"/>
    <w:rsid w:val="00572A08"/>
    <w:rsid w:val="005979E3"/>
    <w:rsid w:val="005C0B70"/>
    <w:rsid w:val="005D4F6F"/>
    <w:rsid w:val="005D73F8"/>
    <w:rsid w:val="005E241C"/>
    <w:rsid w:val="005F0FD5"/>
    <w:rsid w:val="00601168"/>
    <w:rsid w:val="00636513"/>
    <w:rsid w:val="006632C3"/>
    <w:rsid w:val="006A54C0"/>
    <w:rsid w:val="00756D4A"/>
    <w:rsid w:val="00763138"/>
    <w:rsid w:val="00766501"/>
    <w:rsid w:val="007C3B76"/>
    <w:rsid w:val="007F550B"/>
    <w:rsid w:val="00823541"/>
    <w:rsid w:val="00895B42"/>
    <w:rsid w:val="008D464F"/>
    <w:rsid w:val="008F74F5"/>
    <w:rsid w:val="0092171D"/>
    <w:rsid w:val="00993CE2"/>
    <w:rsid w:val="00A02DFE"/>
    <w:rsid w:val="00A1137F"/>
    <w:rsid w:val="00A1166C"/>
    <w:rsid w:val="00A20C49"/>
    <w:rsid w:val="00A8592B"/>
    <w:rsid w:val="00B2310B"/>
    <w:rsid w:val="00B27166"/>
    <w:rsid w:val="00B32761"/>
    <w:rsid w:val="00B333EC"/>
    <w:rsid w:val="00B54629"/>
    <w:rsid w:val="00BA44ED"/>
    <w:rsid w:val="00BB2D87"/>
    <w:rsid w:val="00BC5958"/>
    <w:rsid w:val="00C03363"/>
    <w:rsid w:val="00C27621"/>
    <w:rsid w:val="00C51A73"/>
    <w:rsid w:val="00C555D2"/>
    <w:rsid w:val="00C93D95"/>
    <w:rsid w:val="00CA483C"/>
    <w:rsid w:val="00D03C09"/>
    <w:rsid w:val="00D10347"/>
    <w:rsid w:val="00D231E0"/>
    <w:rsid w:val="00D52F86"/>
    <w:rsid w:val="00D73120"/>
    <w:rsid w:val="00D828BB"/>
    <w:rsid w:val="00DF363A"/>
    <w:rsid w:val="00E20C15"/>
    <w:rsid w:val="00E3149B"/>
    <w:rsid w:val="00E40E48"/>
    <w:rsid w:val="00E70BB8"/>
    <w:rsid w:val="00E715E1"/>
    <w:rsid w:val="00E86A39"/>
    <w:rsid w:val="00E87FA9"/>
    <w:rsid w:val="00E94AB6"/>
    <w:rsid w:val="00EF1C13"/>
    <w:rsid w:val="00EF21D8"/>
    <w:rsid w:val="00F04AE7"/>
    <w:rsid w:val="00F3051B"/>
    <w:rsid w:val="00F75B3D"/>
    <w:rsid w:val="00F80A76"/>
    <w:rsid w:val="00F9561D"/>
    <w:rsid w:val="00FB52BA"/>
    <w:rsid w:val="00FE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64D9"/>
    <w:pPr>
      <w:spacing w:after="160" w:line="259" w:lineRule="auto"/>
    </w:pPr>
    <w:rPr>
      <w:sz w:val="22"/>
      <w:szCs w:val="22"/>
      <w:lang w:eastAsia="en-US"/>
    </w:rPr>
  </w:style>
  <w:style w:type="paragraph" w:styleId="Nadpis4">
    <w:name w:val="heading 4"/>
    <w:basedOn w:val="Normlny"/>
    <w:link w:val="Nadpis4Char"/>
    <w:uiPriority w:val="99"/>
    <w:qFormat/>
    <w:rsid w:val="00C276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locked/>
    <w:rsid w:val="00C27621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Normlnywebov">
    <w:name w:val="Normal (Web)"/>
    <w:basedOn w:val="Normlny"/>
    <w:uiPriority w:val="99"/>
    <w:semiHidden/>
    <w:rsid w:val="00DF36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uiPriority w:val="99"/>
    <w:rsid w:val="00DF363A"/>
    <w:rPr>
      <w:rFonts w:cs="Times New Roman"/>
    </w:rPr>
  </w:style>
  <w:style w:type="character" w:styleId="Zvraznenie">
    <w:name w:val="Emphasis"/>
    <w:uiPriority w:val="99"/>
    <w:qFormat/>
    <w:rsid w:val="00C27621"/>
    <w:rPr>
      <w:rFonts w:cs="Times New Roman"/>
      <w:i/>
      <w:iCs/>
    </w:rPr>
  </w:style>
  <w:style w:type="character" w:styleId="Odkaznakomentr">
    <w:name w:val="annotation reference"/>
    <w:uiPriority w:val="99"/>
    <w:semiHidden/>
    <w:rsid w:val="00C2762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C2762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C27621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C27621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C27621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C27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C27621"/>
    <w:rPr>
      <w:rFonts w:ascii="Segoe UI" w:hAnsi="Segoe UI" w:cs="Segoe UI"/>
      <w:sz w:val="18"/>
      <w:szCs w:val="18"/>
    </w:rPr>
  </w:style>
  <w:style w:type="character" w:styleId="Siln">
    <w:name w:val="Strong"/>
    <w:uiPriority w:val="99"/>
    <w:qFormat/>
    <w:rsid w:val="00B54629"/>
    <w:rPr>
      <w:rFonts w:cs="Times New Roman"/>
      <w:b/>
      <w:bCs/>
    </w:rPr>
  </w:style>
  <w:style w:type="paragraph" w:styleId="Odsekzoznamu">
    <w:name w:val="List Paragraph"/>
    <w:basedOn w:val="Normlny"/>
    <w:uiPriority w:val="99"/>
    <w:qFormat/>
    <w:rsid w:val="00A8592B"/>
    <w:pPr>
      <w:ind w:left="720"/>
      <w:contextualSpacing/>
    </w:pPr>
  </w:style>
  <w:style w:type="character" w:styleId="Hypertextovprepojenie">
    <w:name w:val="Hyperlink"/>
    <w:uiPriority w:val="99"/>
    <w:rsid w:val="00756D4A"/>
    <w:rPr>
      <w:rFonts w:cs="Times New Roman"/>
      <w:color w:val="0563C1"/>
      <w:u w:val="single"/>
    </w:rPr>
  </w:style>
  <w:style w:type="paragraph" w:styleId="Bezriadkovania">
    <w:name w:val="No Spacing"/>
    <w:uiPriority w:val="99"/>
    <w:qFormat/>
    <w:rsid w:val="00D1034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fc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5115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Mezinárodní železniční fórum a konference 2017 po dvou letech opět v Praze</dc:title>
  <dc:creator>Jarmila Nováková</dc:creator>
  <cp:lastModifiedBy>Katarina Hindrova</cp:lastModifiedBy>
  <cp:revision>2</cp:revision>
  <dcterms:created xsi:type="dcterms:W3CDTF">2017-04-06T07:10:00Z</dcterms:created>
  <dcterms:modified xsi:type="dcterms:W3CDTF">2017-04-06T07:10:00Z</dcterms:modified>
</cp:coreProperties>
</file>